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after="0" w:line="540" w:lineRule="exact"/>
        <w:jc w:val="left"/>
        <w:textAlignment w:val="auto"/>
        <w:rPr>
          <w:rFonts w:hint="eastAsia"/>
        </w:rPr>
      </w:pPr>
      <w:bookmarkStart w:id="0" w:name="_Toc6616"/>
      <w:bookmarkStart w:id="1" w:name="_Toc29352"/>
      <w:r>
        <w:rPr>
          <w:rFonts w:hint="eastAsia" w:ascii="黑体" w:hAnsi="黑体" w:eastAsia="黑体" w:cs="楷体_GB2312"/>
          <w:b w:val="0"/>
          <w:sz w:val="30"/>
          <w:szCs w:val="30"/>
        </w:rPr>
        <w:t>案例1</w:t>
      </w:r>
    </w:p>
    <w:p>
      <w:pPr>
        <w:pStyle w:val="3"/>
        <w:spacing w:before="0" w:after="0" w:line="570" w:lineRule="exact"/>
        <w:jc w:val="center"/>
        <w:rPr>
          <w:rFonts w:hint="eastAsia"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rPr>
        <w:t>发挥秦创原创新驱动平台引领作用</w:t>
      </w:r>
      <w:r>
        <w:rPr>
          <w:rFonts w:hint="eastAsia" w:ascii="方正小标宋简体" w:hAnsi="方正小标宋简体" w:eastAsia="方正小标宋简体" w:cs="方正小标宋简体"/>
          <w:b w:val="0"/>
          <w:szCs w:val="44"/>
        </w:rPr>
        <w:br w:type="textWrapping"/>
      </w:r>
      <w:r>
        <w:rPr>
          <w:rFonts w:hint="eastAsia" w:ascii="方正小标宋简体" w:hAnsi="方正小标宋简体" w:eastAsia="方正小标宋简体" w:cs="方正小标宋简体"/>
          <w:b w:val="0"/>
          <w:szCs w:val="44"/>
        </w:rPr>
        <w:t>推动</w:t>
      </w:r>
      <w:r>
        <w:rPr>
          <w:rFonts w:hint="eastAsia" w:ascii="方正小标宋简体" w:hAnsi="方正小标宋简体" w:eastAsia="方正小标宋简体" w:cs="方正小标宋简体"/>
          <w:b w:val="0"/>
          <w:color w:val="000000"/>
          <w:szCs w:val="44"/>
        </w:rPr>
        <w:t>我省</w:t>
      </w:r>
      <w:r>
        <w:rPr>
          <w:rFonts w:hint="eastAsia" w:ascii="方正小标宋简体" w:hAnsi="方正小标宋简体" w:eastAsia="方正小标宋简体" w:cs="方正小标宋简体"/>
          <w:b w:val="0"/>
          <w:szCs w:val="44"/>
        </w:rPr>
        <w:t>全面创新发展</w:t>
      </w:r>
      <w:bookmarkEnd w:id="0"/>
      <w:bookmarkEnd w:id="1"/>
    </w:p>
    <w:p>
      <w:pPr>
        <w:adjustRightInd w:val="0"/>
        <w:snapToGrid w:val="0"/>
        <w:spacing w:line="570" w:lineRule="exact"/>
        <w:rPr>
          <w:rFonts w:ascii="Times New Roman" w:hAnsi="Times New Roman" w:eastAsia="楷体_GB2312"/>
          <w:sz w:val="32"/>
          <w:szCs w:val="32"/>
        </w:rPr>
      </w:pP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2021年省委、省政府启动秦创原创新驱动发展总平台以来，在各方共同努力下，项目招引、加速成果转化、构建两链融合格局、打造创新创业生态等方面均取得明显成效。</w:t>
      </w:r>
      <w:r>
        <w:rPr>
          <w:rFonts w:ascii="仿宋_GB2312" w:hAnsi="仿宋_GB2312" w:eastAsia="仿宋_GB2312" w:cs="仿宋_GB2312"/>
          <w:sz w:val="32"/>
          <w:szCs w:val="32"/>
        </w:rPr>
        <w:t>今年上半年，全省入库科技型中小企业10436家，达到去年全年总数的90%，新增高新技术企业1766家，技术合同成交额增长43.3%，为全省高质量发展提供了强劲动力</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但仍面临一些突出问题：创新资源配置有待进一步优化，企业承接科技成果转化能力不足，科技体制机制改革尚需深化等。为此，建议：</w:t>
      </w: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一、做好“基础研究”这篇文章。</w:t>
      </w:r>
      <w:r>
        <w:rPr>
          <w:rFonts w:hint="eastAsia" w:ascii="仿宋_GB2312" w:hAnsi="仿宋_GB2312" w:eastAsia="仿宋_GB2312" w:cs="仿宋_GB2312"/>
          <w:sz w:val="32"/>
          <w:szCs w:val="32"/>
        </w:rPr>
        <w:t>一是优化构建陕西实验室体系。实施国家重点实验室提升行动计划，优化完善省级和国家级重点实验室，积极创建国家实验室和全国重点实验室。二是完善重大科技基础设施。加快高精度地基授时系统、转化医学等设施建设，建立“沿途下蛋”机制，设立对应的研究院所，打造面向世界科技前沿的“航母级”研究平台。三是创建西安综合性国家科学中心。依托中科院西安科学园、西部创新港等，打造具有全国影响力的“一体两翼”总体布局的科技创新中心。</w:t>
      </w: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二、做好“技术创新”这篇文章。</w:t>
      </w:r>
      <w:r>
        <w:rPr>
          <w:rFonts w:hint="eastAsia" w:ascii="仿宋_GB2312" w:hAnsi="仿宋_GB2312" w:eastAsia="仿宋_GB2312" w:cs="仿宋_GB2312"/>
          <w:sz w:val="32"/>
          <w:szCs w:val="32"/>
        </w:rPr>
        <w:t>一是建设新型研发平台。围绕23条产业链，依托企业、高校、院所谋划建设一批工程研究中心、新型创新联合体，开展产品研发、技术创新和联合攻关。二是建设企业技术中心。推进行业龙头骨干企业建设一批国家级、省级企业技术中心，推动企业加大力度开展新技术、新产品、新工艺研发。三是建设产业技术研究总院。优化整合陕西工研院、西北工研院等省内创新资源，成立陕西省产业技术研究总院，按照专业领域设立分院，开展市场化运营。四是实施重大科技研发计划。积极承担和实施国家、省重点研发计划和重大专项任务，集中攻克一批“卡脖子”技术。</w:t>
      </w: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三、做好“协同创新”这篇文章。</w:t>
      </w:r>
      <w:r>
        <w:rPr>
          <w:rFonts w:hint="eastAsia" w:ascii="仿宋_GB2312" w:hAnsi="仿宋_GB2312" w:eastAsia="仿宋_GB2312" w:cs="仿宋_GB2312"/>
          <w:sz w:val="32"/>
          <w:szCs w:val="32"/>
        </w:rPr>
        <w:t>一是建设产业创新中心。支持创新型领军企业联合上下游企业和高校院所，组建产业创新中心。二是建设“离岸孵化”中心。引导各地市建设“离岸孵化”中心，探索“总部+基地”“研发+生产”、税收分成等模式。三是建设成果产业化基地。把创新嵌入23条重点产业链各环节，加强特色园区与“离岸孵化”中心联动发展，打造一批千亿级产业集群。四是推动县域协同创新。继续整合优化开发区，推动县域园区差异化、特色化、品牌化发展。</w:t>
      </w: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四、做好“创新生态”这篇文章。</w:t>
      </w:r>
      <w:r>
        <w:rPr>
          <w:rFonts w:hint="eastAsia" w:ascii="仿宋_GB2312" w:hAnsi="仿宋_GB2312" w:eastAsia="仿宋_GB2312" w:cs="仿宋_GB2312"/>
          <w:sz w:val="32"/>
          <w:szCs w:val="32"/>
        </w:rPr>
        <w:t>一是提升孵化能力。充分发挥西咸新区、杨凌等8个国家双创示范基地作用，支持碑林环大学创新产业带发展，围绕企业全生命周期梯度培育链条，</w:t>
      </w:r>
      <w:r>
        <w:rPr>
          <w:rFonts w:hint="eastAsia" w:ascii="仿宋_GB2312" w:hAnsi="仿宋_GB2312" w:eastAsia="仿宋_GB2312" w:cs="仿宋_GB2312"/>
          <w:sz w:val="32"/>
          <w:szCs w:val="32"/>
          <w:lang w:val="zh-CN"/>
        </w:rPr>
        <w:t>实现孵化企业数量质量双提升。</w:t>
      </w:r>
      <w:r>
        <w:rPr>
          <w:rFonts w:hint="eastAsia" w:ascii="仿宋_GB2312" w:hAnsi="仿宋_GB2312" w:eastAsia="仿宋_GB2312" w:cs="仿宋_GB2312"/>
          <w:sz w:val="32"/>
          <w:szCs w:val="32"/>
        </w:rPr>
        <w:t>二是增强园区承载能力。探索形成“一产业、一园区、一孵化器、一基金”模式，每个主导产业至少建立1家省级以上孵化器、设立1支创投基金。三是建立多元化投融资体系。设立省级创新驱动发展专项资金，探索政银保联动授信担保。四是加强体制机制创新。加快职务科技成果单列、人才评价和职称评定、横向结余经费出资入股等“三项改革”试点。</w:t>
      </w:r>
    </w:p>
    <w:p>
      <w:pPr>
        <w:adjustRightInd w:val="0"/>
        <w:snapToGrid w:val="0"/>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五、做好“人才招引”这篇文章。</w:t>
      </w:r>
      <w:r>
        <w:rPr>
          <w:rFonts w:hint="eastAsia" w:ascii="仿宋_GB2312" w:hAnsi="仿宋_GB2312" w:eastAsia="仿宋_GB2312" w:cs="仿宋_GB2312"/>
          <w:sz w:val="32"/>
          <w:szCs w:val="32"/>
        </w:rPr>
        <w:t>一是建设高精尖人才队伍。实施省高层次人才引进及特殊支持计划、三秦学者创新团队计划和产业领军人才专项，加强高水平创新人才建设。二是建设高技能应用人才队伍。实施三秦工匠计划，加快建设产教融合基地、高技能人才培训基地、技能大师工作室，持续开展职业技能提升行动。三是建设三支双创人才队伍。集聚一批高水平科技经纪人队伍，建设一批“科学家+工程师”队伍，打造一批双创导师、科研人员创业、大学生创业等“新双创”队伍。</w:t>
      </w:r>
    </w:p>
    <w:p>
      <w:pPr>
        <w:pStyle w:val="3"/>
        <w:spacing w:before="0" w:after="0" w:line="570" w:lineRule="exact"/>
        <w:jc w:val="center"/>
        <w:rPr>
          <w:rFonts w:hint="eastAsia" w:ascii="方正小标宋简体" w:hAnsi="方正小标宋简体" w:eastAsia="方正小标宋简体" w:cs="方正小标宋简体"/>
          <w:b w:val="0"/>
          <w:color w:val="000000"/>
          <w:szCs w:val="44"/>
        </w:rPr>
      </w:pPr>
      <w:bookmarkStart w:id="2" w:name="_Toc28483"/>
      <w:bookmarkStart w:id="3" w:name="_Toc22821"/>
    </w:p>
    <w:p>
      <w:pPr>
        <w:rPr>
          <w:rFonts w:hint="eastAsia"/>
        </w:rPr>
      </w:pPr>
    </w:p>
    <w:p>
      <w:pPr>
        <w:pStyle w:val="3"/>
        <w:spacing w:before="0" w:after="0" w:line="570" w:lineRule="exact"/>
        <w:jc w:val="left"/>
        <w:rPr>
          <w:rFonts w:ascii="方正小标宋简体" w:hAnsi="方正小标宋简体" w:eastAsia="方正小标宋简体" w:cs="方正小标宋简体"/>
          <w:b w:val="0"/>
          <w:color w:val="000000"/>
          <w:szCs w:val="44"/>
        </w:rPr>
      </w:pPr>
      <w:r>
        <w:rPr>
          <w:rFonts w:hint="eastAsia" w:ascii="黑体" w:hAnsi="黑体" w:eastAsia="黑体" w:cs="楷体_GB2312"/>
          <w:b w:val="0"/>
          <w:sz w:val="30"/>
          <w:szCs w:val="30"/>
        </w:rPr>
        <w:t>案例</w:t>
      </w:r>
      <w:r>
        <w:rPr>
          <w:rFonts w:ascii="黑体" w:hAnsi="黑体" w:eastAsia="黑体" w:cs="楷体_GB2312"/>
          <w:b w:val="0"/>
          <w:sz w:val="30"/>
          <w:szCs w:val="30"/>
        </w:rPr>
        <w:t>2</w:t>
      </w:r>
    </w:p>
    <w:p>
      <w:pPr>
        <w:pStyle w:val="3"/>
        <w:spacing w:before="0" w:after="0" w:line="570" w:lineRule="exact"/>
        <w:jc w:val="center"/>
        <w:rPr>
          <w:rFonts w:hint="eastAsia" w:ascii="方正小标宋简体" w:hAnsi="方正小标宋简体" w:eastAsia="方正小标宋简体" w:cs="方正小标宋简体"/>
          <w:b w:val="0"/>
          <w:color w:val="000000"/>
          <w:szCs w:val="44"/>
        </w:rPr>
      </w:pPr>
      <w:r>
        <w:rPr>
          <w:rFonts w:hint="eastAsia" w:ascii="方正小标宋简体" w:hAnsi="方正小标宋简体" w:eastAsia="方正小标宋简体" w:cs="方正小标宋简体"/>
          <w:b w:val="0"/>
          <w:color w:val="000000"/>
          <w:szCs w:val="44"/>
        </w:rPr>
        <w:t>推进校地协同创新</w:t>
      </w:r>
      <w:r>
        <w:rPr>
          <w:rFonts w:hint="eastAsia" w:ascii="方正小标宋简体" w:hAnsi="方正小标宋简体" w:eastAsia="方正小标宋简体" w:cs="方正小标宋简体"/>
          <w:b w:val="0"/>
          <w:color w:val="000000"/>
          <w:szCs w:val="44"/>
        </w:rPr>
        <w:br w:type="textWrapping"/>
      </w:r>
      <w:r>
        <w:rPr>
          <w:rFonts w:hint="eastAsia" w:ascii="方正小标宋简体" w:hAnsi="方正小标宋简体" w:eastAsia="方正小标宋简体" w:cs="方正小标宋简体"/>
          <w:b w:val="0"/>
          <w:color w:val="000000"/>
          <w:szCs w:val="44"/>
        </w:rPr>
        <w:t>打通科研成果转化“堵点”</w:t>
      </w:r>
      <w:bookmarkEnd w:id="2"/>
      <w:bookmarkEnd w:id="3"/>
    </w:p>
    <w:p>
      <w:pPr>
        <w:pStyle w:val="2"/>
        <w:spacing w:line="570" w:lineRule="exact"/>
        <w:ind w:firstLine="679"/>
        <w:jc w:val="center"/>
        <w:rPr>
          <w:rFonts w:hint="eastAsia" w:ascii="楷体_GB2312" w:hAnsi="楷体_GB2312" w:cs="楷体_GB2312"/>
        </w:rPr>
      </w:pPr>
    </w:p>
    <w:p>
      <w:pPr>
        <w:spacing w:line="570" w:lineRule="exact"/>
        <w:ind w:firstLine="67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去年以</w:t>
      </w:r>
      <w:r>
        <w:rPr>
          <w:rFonts w:ascii="仿宋_GB2312" w:hAnsi="仿宋_GB2312" w:eastAsia="仿宋_GB2312" w:cs="仿宋_GB2312"/>
          <w:sz w:val="32"/>
          <w:szCs w:val="32"/>
        </w:rPr>
        <w:t>来，</w:t>
      </w:r>
      <w:r>
        <w:rPr>
          <w:rFonts w:hint="eastAsia" w:ascii="仿宋_GB2312" w:hAnsi="仿宋_GB2312" w:eastAsia="仿宋_GB2312" w:cs="仿宋_GB2312"/>
          <w:sz w:val="32"/>
          <w:szCs w:val="32"/>
        </w:rPr>
        <w:t>我省围绕落实《秦创原创新驱动平台建设三年行动计划（2021-2023年）》，初步形成了多层次、多维度、全社会协同的“1+N”政策体系，成功构建“一中心一平台一公司”框架体系。截至目前，已在工业、农业、社会发展等领域由企业牵头组建了66个“四主体一联合”校企联合研究中心，有力促进了科技创新与成果孵化，但仍存在一些制约平台发展的校地合作问题：</w:t>
      </w:r>
    </w:p>
    <w:p>
      <w:pPr>
        <w:spacing w:line="570" w:lineRule="exact"/>
        <w:ind w:firstLine="678"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一是校地协同不够顺畅，共享机制尚不健全。</w:t>
      </w:r>
      <w:r>
        <w:rPr>
          <w:rFonts w:hint="eastAsia" w:ascii="仿宋_GB2312" w:hAnsi="仿宋_GB2312" w:eastAsia="仿宋_GB2312" w:cs="仿宋_GB2312"/>
          <w:sz w:val="32"/>
          <w:szCs w:val="32"/>
        </w:rPr>
        <w:t>地方经济发展需求和高校培养协同渠道不够通畅，校地合作中仍存在部分信息壁垒。</w:t>
      </w:r>
      <w:r>
        <w:rPr>
          <w:rFonts w:hint="eastAsia" w:ascii="楷体_GB2312" w:hAnsi="楷体_GB2312" w:eastAsia="楷体_GB2312" w:cs="楷体_GB2312"/>
          <w:sz w:val="32"/>
          <w:szCs w:val="32"/>
        </w:rPr>
        <w:t>二是科技成果转化缺乏产出环节支撑。</w:t>
      </w:r>
      <w:r>
        <w:rPr>
          <w:rFonts w:hint="eastAsia" w:ascii="仿宋_GB2312" w:hAnsi="仿宋_GB2312" w:eastAsia="仿宋_GB2312" w:cs="仿宋_GB2312"/>
          <w:sz w:val="32"/>
          <w:szCs w:val="32"/>
        </w:rPr>
        <w:t>科技成果转化过程中</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部分项目难以匹配到合适的中试生产场地，转化缺乏技术成果中试车间、应用制造场地和产品测试经费，对科研成果转化的产出支撑效果需进一步提升。</w:t>
      </w:r>
      <w:r>
        <w:rPr>
          <w:rFonts w:hint="eastAsia" w:ascii="楷体_GB2312" w:hAnsi="楷体_GB2312" w:eastAsia="楷体_GB2312" w:cs="楷体_GB2312"/>
          <w:sz w:val="32"/>
          <w:szCs w:val="32"/>
        </w:rPr>
        <w:t>三是参与“两院”建设的导师队伍数量和层次还有待提升。</w:t>
      </w:r>
      <w:r>
        <w:rPr>
          <w:rFonts w:hint="eastAsia" w:ascii="仿宋_GB2312" w:hAnsi="仿宋_GB2312" w:eastAsia="仿宋_GB2312" w:cs="仿宋_GB2312"/>
          <w:sz w:val="32"/>
          <w:szCs w:val="32"/>
        </w:rPr>
        <w:t>企业尤其是龙头企业的前沿人才到高校兼职导师热情不足，难以达到校企联合培养的目的。</w:t>
      </w:r>
      <w:r>
        <w:rPr>
          <w:rFonts w:hint="eastAsia" w:ascii="楷体_GB2312" w:hAnsi="楷体_GB2312" w:eastAsia="楷体_GB2312" w:cs="楷体_GB2312"/>
          <w:sz w:val="32"/>
          <w:szCs w:val="32"/>
        </w:rPr>
        <w:t>四是交通和生活不便，高端人才吸引力不足。</w:t>
      </w:r>
      <w:r>
        <w:rPr>
          <w:rFonts w:hint="eastAsia" w:ascii="仿宋_GB2312" w:hAnsi="仿宋_GB2312" w:eastAsia="仿宋_GB2312" w:cs="仿宋_GB2312"/>
          <w:sz w:val="32"/>
          <w:szCs w:val="32"/>
        </w:rPr>
        <w:t>我省地处西部，与东南沿海相比吸引人才不占优势，沣西新城公共交通和生活设施不便、中小学配套较差，难以吸引高端人才。为此，建议：</w:t>
      </w:r>
    </w:p>
    <w:p>
      <w:pPr>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一、加强协同联动，畅通信息共享渠道。</w:t>
      </w:r>
      <w:r>
        <w:rPr>
          <w:rFonts w:hint="eastAsia" w:ascii="仿宋_GB2312" w:hAnsi="仿宋_GB2312" w:eastAsia="仿宋_GB2312" w:cs="仿宋_GB2312"/>
          <w:sz w:val="32"/>
          <w:szCs w:val="32"/>
        </w:rPr>
        <w:t>继续坚持各高校与秦创原围绕联合路演、成果转化、需求对接、项目申报、政策宣贯等方面开展的合作，同时扩大校地协同渠道，健全共享机制。用好校地合作机构，可由各高校选派干部赴秦创原创新促进中心挂职，或由双方互相选派干部进行交叉任职，打通信息壁垒，促进协同联动。</w:t>
      </w:r>
    </w:p>
    <w:p>
      <w:pPr>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二、提升产业承载能力，减少资源外流。</w:t>
      </w:r>
      <w:r>
        <w:rPr>
          <w:rFonts w:hint="eastAsia" w:ascii="仿宋_GB2312" w:hAnsi="仿宋_GB2312" w:eastAsia="仿宋_GB2312" w:cs="仿宋_GB2312"/>
          <w:sz w:val="32"/>
          <w:szCs w:val="32"/>
        </w:rPr>
        <w:t>建议政府提供一定场地和资金，为项目匹配到合适的中试生产场地，支持相应产业领域的科技成果中试，实现“前店后厂”配套，自上而下推进配套生态建设。加大省内资本活跃度，促进高校科技成果在陕就地转化，避免优质项目流向省外。提升专利可转化度和成熟度，增强科技成果的市场适应性和可投资性，特别是针对性解决学校大量“沉睡”的专利成果，将库存的实验室科技成果经过应用制造、产品测试等中间环节，转化为具有重大商业前景和创业潜力的高价值技术，破除高水平科技成果落地难、转化慢、风险高的艰难困境，为高校成果转化提供更适宜的发展环境。</w:t>
      </w:r>
    </w:p>
    <w:p>
      <w:pPr>
        <w:spacing w:line="570" w:lineRule="exact"/>
        <w:ind w:firstLine="678" w:firstLineChars="200"/>
        <w:rPr>
          <w:rFonts w:hint="eastAsia" w:ascii="仿宋_GB2312" w:hAnsi="仿宋_GB2312" w:eastAsia="仿宋_GB2312" w:cs="仿宋_GB2312"/>
          <w:sz w:val="32"/>
          <w:szCs w:val="32"/>
        </w:rPr>
      </w:pPr>
      <w:r>
        <w:rPr>
          <w:rFonts w:hint="eastAsia" w:ascii="黑体" w:hAnsi="黑体" w:eastAsia="黑体" w:cs="黑体"/>
          <w:sz w:val="32"/>
          <w:szCs w:val="32"/>
        </w:rPr>
        <w:t>三、促进校地合作，壮大“科学家+工程师”队伍。</w:t>
      </w:r>
      <w:r>
        <w:rPr>
          <w:rFonts w:hint="eastAsia" w:ascii="仿宋_GB2312" w:hAnsi="仿宋_GB2312" w:eastAsia="仿宋_GB2312" w:cs="仿宋_GB2312"/>
          <w:sz w:val="32"/>
          <w:szCs w:val="32"/>
        </w:rPr>
        <w:t>探索建立企业与高等院校联合工作机制，提供优惠政策鼓励企业高工和高管到高校担任兼职导师，鼓励更多地方龙头企业参与到高等院校人才培养工作和学生日常授课中，培养高层次科技创新和创业领军人才。继续加强支持如现代产业学院和未来技术学院等高校建设，鼓励联合培养高端工程人才，以高校科研机构研发基地、学校重点实验室为平台，针对性培养产业工程师。</w:t>
      </w:r>
    </w:p>
    <w:p>
      <w:pPr>
        <w:spacing w:line="570" w:lineRule="exact"/>
        <w:ind w:firstLine="678" w:firstLineChars="200"/>
      </w:pPr>
      <w:r>
        <w:rPr>
          <w:rFonts w:hint="eastAsia" w:ascii="黑体" w:hAnsi="黑体" w:eastAsia="黑体" w:cs="黑体"/>
          <w:sz w:val="32"/>
          <w:szCs w:val="32"/>
        </w:rPr>
        <w:t>四、出台优惠政策，吸引高端人才。</w:t>
      </w:r>
      <w:r>
        <w:rPr>
          <w:rFonts w:hint="eastAsia" w:ascii="仿宋_GB2312" w:hAnsi="仿宋_GB2312" w:eastAsia="仿宋_GB2312" w:cs="仿宋_GB2312"/>
          <w:sz w:val="32"/>
          <w:szCs w:val="32"/>
        </w:rPr>
        <w:t>创新引才育才机制，合力打造“秦创原人才走廊”，增加应届毕业生在秦创原企业工作的生活补贴、交通补贴以及购房补贴，出台高端人才购房补贴、个人所得税减免等政策，吸引国内外高端人才集聚。完善沣西新城公共交通和生活配套设施，特别是统筹建设中小学校和幼儿园，解决秦创原企业人才的孩子入校、入托等问题。</w:t>
      </w:r>
    </w:p>
    <w:p>
      <w:pPr/>
      <w:bookmarkStart w:id="4" w:name="_GoBack"/>
      <w:bookmarkEnd w:id="4"/>
    </w:p>
    <w:sectPr>
      <w:footerReference r:id="rId3" w:type="default"/>
      <w:pgSz w:w="11906" w:h="16838"/>
      <w:pgMar w:top="2098" w:right="1474" w:bottom="1984" w:left="1474" w:header="851" w:footer="1587" w:gutter="0"/>
      <w:cols w:space="720" w:num="1"/>
      <w:docGrid w:type="linesAndChars" w:linePitch="312" w:charSpace="40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D6F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rPr>
      <w:rFonts w:ascii="Times New Roman" w:hAnsi="Times New Roman" w:eastAsia="楷体_GB2312" w:cs="Times New Roman"/>
      <w:sz w:val="32"/>
      <w:szCs w:val="32"/>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2022-12-26T03:52:56Z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